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Общество с ограниченной ответственностью «Красофт»</w:t>
      </w:r>
      <w:r>
        <w:t xml:space="preserve"> </w:t>
      </w:r>
      <w:r>
        <w:t xml:space="preserve">(ООО «Красофт»)</w:t>
      </w:r>
    </w:p>
    <w:p>
      <w:pPr>
        <w:pStyle w:val="BodyText"/>
      </w:pPr>
      <w:r>
        <w:t xml:space="preserve">ИНН 9705142730 · ОГРН 1207700109165 · КПП 070001001</w:t>
      </w:r>
      <w:r>
        <w:t xml:space="preserve"> </w:t>
      </w:r>
      <w:r>
        <w:t xml:space="preserve">Юридический адрес: 360001, Кабардино-Балкарская Республика, г. Нальчик, ул. Мечиева, зд. 207а, этаж 4</w:t>
      </w:r>
      <w:r>
        <w:t xml:space="preserve"> </w:t>
      </w:r>
      <w:r>
        <w:t xml:space="preserve">Тел.: +7 (495) 540-55-99 · E-mail: info@krasoft.ru</w:t>
      </w:r>
      <w:r>
        <w:t xml:space="preserve"> </w:t>
      </w:r>
      <w:r>
        <w:t xml:space="preserve">Регистрационный номер в реестре операторов персональных данных (Роскомнадзор): № 26-26-052889</w:t>
      </w:r>
    </w:p>
    <w:p>
      <w:r>
        <w:pict>
          <v:rect style="width:0;height:1.5pt" o:hralign="center" o:hrstd="t" o:hr="t"/>
        </w:pict>
      </w:r>
    </w:p>
    <w:bookmarkStart w:id="19" w:name="информация"/>
    <w:p>
      <w:pPr>
        <w:pStyle w:val="Heading1"/>
      </w:pPr>
      <w:r>
        <w:t xml:space="preserve">ИНФОРМАЦИЯ</w:t>
      </w:r>
    </w:p>
    <w:bookmarkStart w:id="9" w:name="X05b98c74c389868832e77c6e88a1bb6e02246f0"/>
    <w:p>
      <w:pPr>
        <w:pStyle w:val="Heading2"/>
      </w:pPr>
      <w:r>
        <w:t xml:space="preserve">о стоимости программного обеспечения «КРАСОФТ Поиск» (KrasoftSearch) и порядке его предоставления</w:t>
      </w:r>
    </w:p>
    <w:p>
      <w:pPr>
        <w:pStyle w:val="FirstParagraph"/>
      </w:pPr>
      <w:r>
        <w:t xml:space="preserve">Настоящая информация подготовлена Обществом с ограниченной ответственностью «Красофт» (далее — Общество, Правообладатель) для целей рассмотрения заявления о включении сведений о программном обеспечении «КРАСОФТ Поиск» (латинское наименование — KrasoftSearch; далее — Программное обеспечение, ПО) в единый реестр российских программ для электронных вычислительных машин и баз данных (далее — Реестр), формируемый и ведущийся в соответствии с Постановлением Правительства Российской Федерации от 16.11.2015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(далее — Постановление № 1236) и утверждёнными им 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— членов Евразийского экономического союза (далее — Правила).</w:t>
      </w:r>
    </w:p>
    <w:p>
      <w:pPr>
        <w:pStyle w:val="BodyText"/>
      </w:pPr>
      <w:r>
        <w:t xml:space="preserve">Документ раскрывает сведения о стоимости использования Программного обеспечения и порядке его предоставления, представляемые в составе сведений о программном обеспечении в соответствии с пунктом 5 Правил (в том числе об отсутствии в условиях предоставления ограничений, обусловленных иностранным участием, и о возможности свободного приобретения экземпляра (права использования) Программного обеспечения на территории Российской Федерации).</w:t>
      </w:r>
    </w:p>
    <w:bookmarkEnd w:id="9"/>
    <w:bookmarkStart w:id="10" w:name="сведения-о-правообладателе"/>
    <w:p>
      <w:pPr>
        <w:pStyle w:val="Heading2"/>
      </w:pPr>
      <w:r>
        <w:t xml:space="preserve">1. Сведения о Правообладателе</w:t>
      </w:r>
    </w:p>
    <w:p>
      <w:pPr>
        <w:pStyle w:val="FirstParagraph"/>
      </w:pPr>
      <w:r>
        <w:t xml:space="preserve">Полное фирменное наименование: Общество с ограниченной ответственностью «Красофт».</w:t>
      </w:r>
      <w:r>
        <w:t xml:space="preserve"> </w:t>
      </w:r>
      <w:r>
        <w:t xml:space="preserve">Сокращённое фирменное наименование: ООО «Красофт».</w:t>
      </w:r>
      <w:r>
        <w:t xml:space="preserve"> </w:t>
      </w:r>
      <w:r>
        <w:t xml:space="preserve">ИНН: 9705142730. ОГРН: 1207700109165. КПП: 070001001.</w:t>
      </w:r>
      <w:r>
        <w:t xml:space="preserve"> </w:t>
      </w:r>
      <w:r>
        <w:t xml:space="preserve">Юридический адрес: 360001, Кабардино-Балкарская Республика, г. Нальчик, ул. Мечиева, зд. 207а, этаж 4.</w:t>
      </w:r>
      <w:r>
        <w:t xml:space="preserve"> </w:t>
      </w:r>
      <w:r>
        <w:t xml:space="preserve">Лицо, действующее от имени Общества без доверенности: генеральный директор Кунижев Рустам Адальбиевич.</w:t>
      </w:r>
    </w:p>
    <w:bookmarkEnd w:id="10"/>
    <w:bookmarkStart w:id="11" w:name="Xde7eb2f940c4c0fdd6c85c60bc8f258fb48f52f"/>
    <w:p>
      <w:pPr>
        <w:pStyle w:val="Heading2"/>
      </w:pPr>
      <w:r>
        <w:t xml:space="preserve">2. Объект, в отношении которого приводятся сведения о стоимости</w:t>
      </w:r>
    </w:p>
    <w:p>
      <w:pPr>
        <w:pStyle w:val="FirstParagraph"/>
      </w:pPr>
      <w:r>
        <w:t xml:space="preserve">Наименование программного обеспечения: «КРАСОФТ Поиск» (KrasoftSearch).</w:t>
      </w:r>
      <w:r>
        <w:t xml:space="preserve"> </w:t>
      </w:r>
      <w:r>
        <w:t xml:space="preserve">Назначение: веб-сервис поиска по реестрам государственных и корпоративных закупок Российской Федерации (извещения, контракты, план-график, объекты закупок, спецификации, исполнение контрактов, технические задания, справочники) с конструктором сохраняемых фильтров и настройкой рассылок уведомлений по фильтрам.</w:t>
      </w:r>
      <w:r>
        <w:t xml:space="preserve"> </w:t>
      </w:r>
      <w:r>
        <w:t xml:space="preserve">Класс программного обеспечения по классификатору, утверждённому приказом Минцифры России от 22.09.2020 № 486: «12.20 Информационные системы для решения специфических отраслевых задач».</w:t>
      </w:r>
    </w:p>
    <w:bookmarkEnd w:id="11"/>
    <w:bookmarkStart w:id="12" w:name="X66e7662cd8c54221782aaa4fecf32b43199ac8c"/>
    <w:p>
      <w:pPr>
        <w:pStyle w:val="Heading2"/>
      </w:pPr>
      <w:r>
        <w:t xml:space="preserve">3. Модель предоставления Программного обеспечения</w:t>
      </w:r>
    </w:p>
    <w:p>
      <w:pPr>
        <w:pStyle w:val="FirstParagraph"/>
      </w:pPr>
      <w:r>
        <w:t xml:space="preserve">3.1. Программное обеспечение предоставляется Обществом по модели «программное обеспечение как услуга» (SaaS) — посредством предоставления заказчику (далее — Лицензиат, Заказчик) права использования размещённого на инфраструктуре Общества (или уполномоченных им лиц) экземпляра Программного обеспечения через информационно-телекоммуникационную сеть «Интернет», без передачи Лицензиату экземпляра программы на материальном носителе и без установки серверной части на оборудование Лицензиата.</w:t>
      </w:r>
    </w:p>
    <w:p>
      <w:pPr>
        <w:pStyle w:val="BodyText"/>
      </w:pPr>
      <w:r>
        <w:t xml:space="preserve">3.2. Доступ к функциональным возможностям Программного обеспечения предоставляется на условиях простой (неисключительной) лицензии (права использования) на срок действия подписки, оформляемой по соответствующему тарифному плану. Исключительное право на Программное обеспечение остаётся за Правообладателем; Лицензиату предоставляется только право использования в пределах, определённых лицензионным договором (договором о предоставлении доступа).</w:t>
      </w:r>
    </w:p>
    <w:p>
      <w:pPr>
        <w:pStyle w:val="BodyText"/>
      </w:pPr>
      <w:r>
        <w:t xml:space="preserve">3.3. Предоставление права использования Программного обеспечения по лицензионному договору осуществляется в порядке, предусмотренном статьями 1235, 1236, 1238, 1286 Гражданского кодекса Российской Федерации.</w:t>
      </w:r>
    </w:p>
    <w:p>
      <w:pPr>
        <w:pStyle w:val="BodyText"/>
      </w:pPr>
      <w:r>
        <w:t xml:space="preserve">3.4. Реализация (предоставление прав использования) Программного обеспечения, включённого в Реестр, на основании лицензионного договора освобождается от налога на добавленную стоимость в соответствии с подпунктом 26 пункта 2 статьи 149 Налогового кодекса Российской Федерации (в части программ для ЭВМ и баз данных, включённых в единый реестр российских программ для электронных вычислительных машин и баз данных, а также прав на их использование). До момента включения Программного обеспечения в Реестр стоимость определяется в порядке, установленном законодательством Российской Федерации.</w:t>
      </w:r>
    </w:p>
    <w:p>
      <w:pPr>
        <w:pStyle w:val="BodyText"/>
      </w:pPr>
      <w:r>
        <w:t xml:space="preserve">3.5. Программное обеспечение предоставляется на территории Российской Федерации. Эксплуатация Программного обеспечения и обслуживающая его инфраструктура размещаются на территории Российской Федерации. Работоспособность Программного обеспечения, его обновление и сопровождение не зависят от иностранных лиц и иностранной инфраструктуры; принудительное обновление и управление Программным обеспечением из-за рубежа отсутствуют.</w:t>
      </w:r>
    </w:p>
    <w:bookmarkEnd w:id="12"/>
    <w:bookmarkStart w:id="13" w:name="Xddae9cf48033e3f75b0790620f130442f4ad598"/>
    <w:p>
      <w:pPr>
        <w:pStyle w:val="Heading2"/>
      </w:pPr>
      <w:r>
        <w:t xml:space="preserve">4. Порядок формирования цены и тарифные планы</w:t>
      </w:r>
    </w:p>
    <w:p>
      <w:pPr>
        <w:pStyle w:val="FirstParagraph"/>
      </w:pPr>
      <w:r>
        <w:t xml:space="preserve">4.1. Стоимость использования Программного обеспечения выражается в валюте Российской Федерации — российских рублях (₽). Все расчёты по предоставлению права использования производятся в рублях.</w:t>
      </w:r>
    </w:p>
    <w:p>
      <w:pPr>
        <w:pStyle w:val="BodyText"/>
      </w:pPr>
      <w:r>
        <w:t xml:space="preserve">4.2. Цена формируется по подписной (абонентской) модели за период использования (далее — расчётный период). Размер платы зависит от выбранного тарифного плана и набора подключённых функциональных возможностей. На формирование стоимости влияют, в частности, следующие параметры:</w:t>
      </w:r>
    </w:p>
    <w:p>
      <w:pPr>
        <w:pStyle w:val="Compact"/>
        <w:numPr>
          <w:ilvl w:val="0"/>
          <w:numId w:val="1001"/>
        </w:numPr>
      </w:pPr>
      <w:r>
        <w:t xml:space="preserve">состав подключённых функциональных модулей и реестров для поиска (извещения, контракты, план-график, объекты закупок, спецификации, исполнение контрактов, технические задания, справочники);</w:t>
      </w:r>
    </w:p>
    <w:p>
      <w:pPr>
        <w:pStyle w:val="Compact"/>
        <w:numPr>
          <w:ilvl w:val="0"/>
          <w:numId w:val="1001"/>
        </w:numPr>
      </w:pPr>
      <w:r>
        <w:t xml:space="preserve">количество пользователей (учётных записей сотрудников Лицензиата), имеющих доступ к Программному обеспечению;</w:t>
      </w:r>
    </w:p>
    <w:p>
      <w:pPr>
        <w:pStyle w:val="Compact"/>
        <w:numPr>
          <w:ilvl w:val="0"/>
          <w:numId w:val="1001"/>
        </w:numPr>
      </w:pPr>
      <w:r>
        <w:t xml:space="preserve">длительность расчётного периода подписки (например, 1 (один) месяц, 3 (три) месяца, 6 (шесть) месяцев, 12 (двенадцать) месяцев); для длительных периодов может предусматриваться сниженная удельная стоимость;</w:t>
      </w:r>
    </w:p>
    <w:p>
      <w:pPr>
        <w:pStyle w:val="Compact"/>
        <w:numPr>
          <w:ilvl w:val="0"/>
          <w:numId w:val="1001"/>
        </w:numPr>
      </w:pPr>
      <w:r>
        <w:t xml:space="preserve">объём и состав настраиваемых сохраняемых фильтров и рассылок уведомлений по фильтрам;</w:t>
      </w:r>
    </w:p>
    <w:p>
      <w:pPr>
        <w:pStyle w:val="Compact"/>
        <w:numPr>
          <w:ilvl w:val="0"/>
          <w:numId w:val="1001"/>
        </w:numPr>
      </w:pPr>
      <w:r>
        <w:t xml:space="preserve">наличие дополнительных услуг (расширенное сопровождение, обучение пользователей, индивидуальная настройка), которые предоставляются по запросу Заказчика.</w:t>
      </w:r>
    </w:p>
    <w:p>
      <w:pPr>
        <w:pStyle w:val="FirstParagraph"/>
      </w:pPr>
      <w:r>
        <w:t xml:space="preserve">4.3. Конкретные тарифные планы и размеры платы формируются индивидуально и предоставляются по запросу на основании коммерческого предложения Общества. Для получения актуального перечня тарифных планов и стоимости следует обратиться в Общество по адресу электронной почты info@krasoft.ru либо по телефону +7 (495) 540-55-99.</w:t>
      </w:r>
    </w:p>
    <w:p>
      <w:pPr>
        <w:pStyle w:val="BodyText"/>
      </w:pPr>
      <w:r>
        <w:t xml:space="preserve">4.4. Для крупных заказчиков, а также при нестандартном наборе функциональных возможностей или количестве пользователей стоимость определяется индивидуально на основании коммерческого предложения Общества по запросу Заказчика. Индивидуальная стоимость рассчитывается исходя из базовой стоимости выбранного тарифного плана с учётом количества пользователей и (или) подключаемых модулей.</w:t>
      </w:r>
    </w:p>
    <w:p>
      <w:pPr>
        <w:pStyle w:val="BodyText"/>
      </w:pPr>
      <w:r>
        <w:t xml:space="preserve">4.5. Актуальный прайс-лист (перечень тарифных планов и размеры платы) размещается и поддерживается в актуальном состоянии на официальной странице Программного обеспечения в сети «Интернет» по адресу: https://search.krasoft.ru. Сведения о стоимости, приведённые в настоящем документе, носят справочный характер на дату его составления; в случае расхождения приоритет имеют сведения, опубликованные на указанной странице, и (или) условия заключённого договора.</w:t>
      </w:r>
    </w:p>
    <w:bookmarkEnd w:id="13"/>
    <w:bookmarkStart w:id="14" w:name="Xc4a9da1726da4b2960bba6e0a66e108438ebe62"/>
    <w:p>
      <w:pPr>
        <w:pStyle w:val="Heading2"/>
      </w:pPr>
      <w:r>
        <w:t xml:space="preserve">5. Наличие либо отсутствие безвозмездных вариантов предоставления</w:t>
      </w:r>
    </w:p>
    <w:p>
      <w:pPr>
        <w:pStyle w:val="FirstParagraph"/>
      </w:pPr>
      <w:r>
        <w:t xml:space="preserve">5.1. Программное обеспечение предоставляется на возмездной основе по подписной модели. Безвозмездные (бесплатные) тарифные планы для постоянного использования не предусмотрены; возможность ознакомления с функциональными возможностями обеспечивается предоставлением тестового (пробного) доступа на ограниченный срок (раздел 6 настоящего документа).</w:t>
      </w:r>
    </w:p>
    <w:p>
      <w:pPr>
        <w:pStyle w:val="BodyText"/>
      </w:pPr>
      <w:r>
        <w:t xml:space="preserve">5.2. Предоставление права использования Программного обеспечения не обусловлено приобретением иного программного обеспечения, оборудования или услуг; обязательная привязка к продуктам иностранных правообладателей отсутствует.</w:t>
      </w:r>
    </w:p>
    <w:bookmarkEnd w:id="14"/>
    <w:bookmarkStart w:id="15" w:name="тестовый-пробный-доступ"/>
    <w:p>
      <w:pPr>
        <w:pStyle w:val="Heading2"/>
      </w:pPr>
      <w:r>
        <w:t xml:space="preserve">6. Тестовый (пробный) доступ</w:t>
      </w:r>
    </w:p>
    <w:p>
      <w:pPr>
        <w:pStyle w:val="FirstParagraph"/>
      </w:pPr>
      <w:r>
        <w:t xml:space="preserve">6.1. По запросу потенциального Заказчика Общество предоставляет тестовый (демонстрационный, пробный) доступ к Программному обеспечению на ограниченный срок с целью ознакомления с его функциональными возможностями до заключения возмездного договора.</w:t>
      </w:r>
    </w:p>
    <w:p>
      <w:pPr>
        <w:pStyle w:val="BodyText"/>
      </w:pPr>
      <w:r>
        <w:t xml:space="preserve">6.2. Срок и условия предоставления тестового доступа уточняются по запросу Заказчика. Тестовый доступ предоставляется на безвозмездной основе и не влечёт обязанности Заказчика по заключению возмездного договора.</w:t>
      </w:r>
    </w:p>
    <w:p>
      <w:pPr>
        <w:pStyle w:val="BodyText"/>
      </w:pPr>
      <w:r>
        <w:t xml:space="preserve">6.3. Заявка на предоставление тестового (демонстрационного) доступа направляется через официальную страницу Программного обеспечения (https://search.krasoft.ru) либо по адресу электронной почты info@krasoft.ru. Доступ предоставляется к Программному обеспечению, размещённому на инфраструктуре Общества.</w:t>
      </w:r>
    </w:p>
    <w:bookmarkEnd w:id="15"/>
    <w:bookmarkStart w:id="16" w:name="порядок-заключения-договора-и-оплаты"/>
    <w:p>
      <w:pPr>
        <w:pStyle w:val="Heading2"/>
      </w:pPr>
      <w:r>
        <w:t xml:space="preserve">7. Порядок заключения договора и оплаты</w:t>
      </w:r>
    </w:p>
    <w:p>
      <w:pPr>
        <w:pStyle w:val="FirstParagraph"/>
      </w:pPr>
      <w:r>
        <w:t xml:space="preserve">7.1. Предоставление права использования Программного обеспечения оформляется лицензионным договором (договором о предоставлении доступа к Программному обеспечению), заключаемым между Обществом и Заказчиком. Договор может заключаться как в форме единого документа, подписанного сторонами, так и путём присоединения Заказчика к условиям публичной оферты, размещённой на странице Программного обеспечения в сети «Интернет» (статьи 428, 435, 437, 438 Гражданского кодекса Российской Федерации).</w:t>
      </w:r>
    </w:p>
    <w:p>
      <w:pPr>
        <w:pStyle w:val="BodyText"/>
      </w:pPr>
      <w:r>
        <w:t xml:space="preserve">7.2. Порядок заключения договора:</w:t>
      </w:r>
    </w:p>
    <w:p>
      <w:pPr>
        <w:pStyle w:val="Compact"/>
        <w:numPr>
          <w:ilvl w:val="0"/>
          <w:numId w:val="1002"/>
        </w:numPr>
      </w:pPr>
      <w:r>
        <w:t xml:space="preserve">Заказчик выбирает тарифный план на странице https://search.krasoft.ru либо направляет запрос на коммерческое предложение по адресу info@krasoft.ru или по телефону +7 (495) 540-55-99;</w:t>
      </w:r>
    </w:p>
    <w:p>
      <w:pPr>
        <w:pStyle w:val="Compact"/>
        <w:numPr>
          <w:ilvl w:val="0"/>
          <w:numId w:val="1002"/>
        </w:numPr>
      </w:pPr>
      <w:r>
        <w:t xml:space="preserve">Общество предоставляет Заказчику условия договора (оферту) и (или) счёт на оплату выбранного тарифного плана;</w:t>
      </w:r>
    </w:p>
    <w:p>
      <w:pPr>
        <w:pStyle w:val="Compact"/>
        <w:numPr>
          <w:ilvl w:val="0"/>
          <w:numId w:val="1002"/>
        </w:numPr>
      </w:pPr>
      <w:r>
        <w:t xml:space="preserve">акцептом оферты признаётся оплата счёта Заказчиком и (или) совершение иных действий, указанных в оферте (в том числе регистрация и начало использования Программного обеспечения), если иное не предусмотрено условиями договора;</w:t>
      </w:r>
    </w:p>
    <w:p>
      <w:pPr>
        <w:pStyle w:val="Compact"/>
        <w:numPr>
          <w:ilvl w:val="0"/>
          <w:numId w:val="1002"/>
        </w:numPr>
      </w:pPr>
      <w:r>
        <w:t xml:space="preserve">после поступления оплаты Общество активирует доступ Заказчика к Программному обеспечению на оплаченный расчётный период.</w:t>
      </w:r>
    </w:p>
    <w:p>
      <w:pPr>
        <w:pStyle w:val="FirstParagraph"/>
      </w:pPr>
      <w:r>
        <w:t xml:space="preserve">7.3. Оплата производится в безналичном порядке в российских рублях путём перечисления денежных средств на расчётный счёт Общества на основании выставленного счёта, а равно иными способами, предусмотренными договором (офертой). Оплата производится в порядке предварительной оплаты (предоплаты) за расчётный период, если иное не предусмотрено договором.</w:t>
      </w:r>
    </w:p>
    <w:p>
      <w:pPr>
        <w:pStyle w:val="BodyText"/>
      </w:pPr>
      <w:r>
        <w:t xml:space="preserve">7.4. Закрывающие документы (акт, универсальный передаточный документ и (или) счёт-фактура — в зависимости от применяемого налогового режима и наличия Программного обеспечения в Реестре) предоставляются Заказчику в порядке и сроки, установленные договором и законодательством Российской Федерации.</w:t>
      </w:r>
    </w:p>
    <w:p>
      <w:pPr>
        <w:pStyle w:val="BodyText"/>
      </w:pPr>
      <w:r>
        <w:t xml:space="preserve">7.5. Возможность продления подписки, изменения тарифного плана, а также порядок возврата платежей при досрочном прекращении использования определяются условиями договора (оферты) и уточняются по запросу Заказчика.</w:t>
      </w:r>
    </w:p>
    <w:bookmarkEnd w:id="16"/>
    <w:bookmarkStart w:id="17" w:name="условия-распространения"/>
    <w:p>
      <w:pPr>
        <w:pStyle w:val="Heading2"/>
      </w:pPr>
      <w:r>
        <w:t xml:space="preserve">8. Условия распространения</w:t>
      </w:r>
    </w:p>
    <w:p>
      <w:pPr>
        <w:pStyle w:val="FirstParagraph"/>
      </w:pPr>
      <w:r>
        <w:t xml:space="preserve">8.1. Программное обеспечение распространяется на территории Российской Федерации. Ограничения на свободную реализацию Программного обеспечения на территории Российской Федерации, обусловленные участием иностранных лиц, отсутствуют.</w:t>
      </w:r>
    </w:p>
    <w:p>
      <w:pPr>
        <w:pStyle w:val="BodyText"/>
      </w:pPr>
      <w:r>
        <w:t xml:space="preserve">8.2. Предоставление права использования Программного обеспечения, его обновление и сопровождение осуществляются Обществом самостоятельно и не зависят от иностранных лиц и иностранной инфраструктуры, что соответствует требованиям, предъявляемым к программному обеспечению при его включении в Реестр в соответствии с Постановлением № 1236 и Правилами. Выплаты в пользу иностранных лиц в связи с предоставлением права использования Программного обеспечения не производятся.</w:t>
      </w:r>
    </w:p>
    <w:bookmarkEnd w:id="17"/>
    <w:bookmarkStart w:id="18" w:name="достоверность-сведений"/>
    <w:p>
      <w:pPr>
        <w:pStyle w:val="Heading2"/>
      </w:pPr>
      <w:r>
        <w:t xml:space="preserve">9. Достоверность сведений</w:t>
      </w:r>
    </w:p>
    <w:p>
      <w:pPr>
        <w:pStyle w:val="FirstParagraph"/>
      </w:pPr>
      <w:r>
        <w:t xml:space="preserve">Сведения, изложенные в настоящем документе, являются достоверными на дату его составления. Общество подтверждает готовность представить по запросу уполномоченного органа дополнительные документы и пояснения, подтверждающие изложенные сведения о стоимости и порядке предоставления Программного обеспечения (договоры, оферту, прайс-лист, бухгалтерские документы).</w:t>
      </w:r>
    </w:p>
    <w:bookmarkEnd w:id="18"/>
    <w:bookmarkEnd w:id="19"/>
    <w:sectPr w:rsidR="00FC693F" w:rsidRPr="0006063C" w:rsidSect="00034616">
      <w:pgSz w:h="15840" w:w="12240"/>
      <w:pgMar w:bottom="1138" w:footer="720" w:gutter="0" w:header="720" w:left="1699" w:right="850" w:top="1138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21">
    <w:nsid w:val="00A99421"/>
    <w:multiLevelType w:val="multilevel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Times New Roman" w:cs="Times New Roman" w:eastAsia="Times New Roman" w:hAnsi="Times New Roman"/>
      <w:sz w:val="24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2026-07-06T11:15:21Z</dcterms:created>
  <dcterms:modified xsi:type="dcterms:W3CDTF">2026-07-06T11:15:21Z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